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40 vom 3. Dezember 2018</w:t>
      </w:r>
    </w:p>
    <w:p>
      <w:r>
        <w:t>GR Gerichte, 2018-12-03, DE</w:t>
      </w:r>
    </w:p>
    <w:p>
      <w:r>
        <w:rPr>
          <w:b/>
        </w:rPr>
        <w:t xml:space="preserve">Quelle: </w:t>
      </w:r>
      <w:r>
        <w:t>https://mcp.opencaselaw.ch/entscheid/gr_gerichte_SK2 2018 40</w:t>
      </w:r>
    </w:p>
    <w:p>
      <w:r>
        <w:t>FR: GR_GERICHTE SK2 2018 40 du 3 décembre 2018</w:t>
      </w:r>
    </w:p>
    <w:p>
      <w:r>
        <w:t>IT: GR_GERICHTE SK2 2018 40 del 3 dicembre 2018</w:t>
      </w:r>
    </w:p>
    <w:p>
      <w:pPr>
        <w:pStyle w:val="Heading2"/>
      </w:pPr>
      <w:r>
        <w:t>Regeste</w:t>
      </w:r>
    </w:p>
    <w:p>
      <w:r>
        <w:t>Beschwerde gegen StA, Einstellungsverfügung</w:t>
      </w:r>
    </w:p>
    <w:p>
      <w:pPr>
        <w:pStyle w:val="Heading2"/>
      </w:pPr>
      <w:r>
        <w:t>Erwägungen</w:t>
      </w:r>
    </w:p>
    <w:p>
      <w:r>
        <w:rPr>
          <w:b/>
        </w:rPr>
        <w:t>E. 6</w:t>
      </w:r>
    </w:p>
    <w:p>
      <w:r>
        <w:t>Es sei von der Erklärung Vormerk zu nehmen, dass sich die Be- schwerdeführerin am Strafverfahren als Privatklägerin beteiligt und ih- re Verfahrens- und Parteirechte wahrnimmt;</w:t>
      </w:r>
    </w:p>
    <w:p>
      <w:r>
        <w:rPr>
          <w:b/>
        </w:rPr>
        <w:t>E. 6.1</w:t>
      </w:r>
    </w:p>
    <w:p>
      <w:r>
        <w:t>Weiter macht die Beschwerdeführerin geltend, die Staatsanwaltschaft Graubünden habe in Kenntnis von der bereits im Kanton Zürich laufenden Unter- suchung ein Strafverfahren eröffnet. Als Beleg verweist sie auf zwei Schreiben der Staatsanwaltschaft Graubünden vom 26. Januar 2018 und 22. Mai 2018 (StA act. 3.4 und 1.11). Aufgrund dessen sei sie davon ausgegangen, die Staatsanwalt- schaft Zürich-Limmat habe die Sache in Anwendung von Art. 39 StPO zuständig- keitshalber an die Staatsanwaltschaft Graubünden weitergeleitet und diese habe die Strafuntersuchung übernommen. Diese Umstände hätten sie dazu bewogen, kein Rechtsmittel gegen die Nichtanhandnahmeverfügung der Staatsanwaltschaft Zürich-Limmat einzulegen, zumal sie ohnehin der Meinung gewesen sei, von al- lem Anfang an, die Strafanzeige in O.1_____ eingereicht zu haben. Die Einrei- chung in Zürich beruhe auf einem offensichtlichen Redaktionsfehler, der von der Staatsanwaltschaft Zürich-Limmat hätte bemerkt werden müssen.</w:t>
      </w:r>
    </w:p>
    <w:p>
      <w:r>
        <w:rPr>
          <w:b/>
        </w:rPr>
        <w:t>E. 6.2</w:t>
      </w:r>
    </w:p>
    <w:p>
      <w:r>
        <w:t>Mit Schreiben vom 26. Januar 2018 wies die Staatsanwaltschaft Graubün- den die Beschwerdeführerin darauf hin, dass die bei ihr eingereichte Strafanzeige an die Staatsanwaltschaft Zürich-Limmat adressiert sei und darin ausgeführt wer- de, dass die Staatsanwaltschaft Zürich-Limmat örtlich zuständig sei. Im Antworts- chreiben der Beschwerdeführerin vom 7. Februar 2018 (StA act. 3.5) hielt diese fest, es handle sich dabei um ein Versehen. Es sei lediglich ein älterer und unvoll- ständiger Entwurf der Strafanzeige zugestellt worden. Somit lässt sich daraus nicht ableiten, dass die Staatsanwaltschaft Graubünden bei Eröffnung des Verfahrens Kenntnis davon hatte, dass bereits ein Verfahren in gleicher Sache bei der Staatsanwaltschaft Zürich-Limmat anhängig gemacht wor-</w:t>
      </w:r>
    </w:p>
    <w:p>
      <w:r>
        <w:rPr>
          <w:b/>
        </w:rPr>
        <w:t>E. 7</w:t>
      </w:r>
    </w:p>
    <w:p>
      <w:r>
        <w:t>/ 17 verfügung erlassen, die in Rechtskraft erwachsen sei. Sie führte aus, dass der Handlungsort in Zürich liege, da der massgebende Darlehensvertrag in Zürich ab- geschlossen und zudem als Gerichtsstand Zürich festgelegt worden sei. Demzu- folge läge der Handlungsort gemäss Art. 31 Abs. 1 StPO in Zürich, weshalb sich die Staatsanwaltschaft Zürich-Limmat örtlich zuständig ansehen und eine Nicht- anhandnahmeverfügung habe erlassen dürfen. Letztere sei in der Folge sowohl in formeller als auch in materieller Hinsicht in Rechtskraft erwachsen. Des Weiteren sei die in Zürich eingereichte Strafanzeige der Beschwerdeführerin identisch mit derjenigen, welche sie bei der Staatsanwaltschaft Graubünden eingereicht habe, weshalb keine neuen Beweismittel oder Tatsachen ersichtlich seien und die Vor- aussetzungen für eine Wiederaufnahme der Nichtanhandnahmeverfügung im Sin- ne von Art. 323 StPO nicht vorlägen. Somit liege ein Verfahrenshindernis vor, weshalb das Verfahren gestützt auf Art 319 Abs. 1 lit. d StPO einzustellen sei. 2.3. In der bei der Staatsanwaltschaft Graubünden eingereichten Strafanzeige vom 7. Februar 2018 machte die Beschwerdeführerin zunächst geltend, sie habe mit Y._____ am 24. Juni 2014 einen Darlehensvertrag abgeschlossen, wonach sie Y._____ ein Darlehen in der Höhe von CHF 55'000.00 gewährt und sich Letzterer dazu verpflichtet habe, ihr das ihm gewährte Darlehen, während einer Laufzeit von 55 Monaten, konkret vom 1. Juni 2014 bis zum 1. Februar 2019, in Raten à CHF 1'154.29 (Amortisation inkl. Zins) zurückzuzahlen. Als Darlehenszweck sei "CHF 55'000.00 zur kurzfristigen Finanzierung einer Investition" genannt worden, wobei Y._____ angegeben habe, dass er das Geld dafür brauche, um sich aus seiner Schuld gegenüber seiner Ehefrau auszukaufen. Weiter brachte die X._____ vor, dass sie die Bonität von Y._____ mittels Auszug aus dem Betreibungsregister vom 13. Juni 2014 überprüft habe und Y._____ mehrmals versichert habe, dass er mit seinem monatlichen Einkommen als Polizist in der Höhe von brutto CHF 8'500.00 beste Bonität besitze. Dabei habe Y._____ sie durch Vorspiegelung falscher Tat- sachen arglistig getäuscht, indem er sie um seine tatsächliche wirtschaftliche Si- tuation und seine Unterhaltsverpflichtung im Umfang von CHF 3'600.00 im Unwis- sen gelassen habe. Y._____ habe 14 Raten à CHF 1'154.30 (30. Juli 2014 bis 29. Januar 2016) sowie eine Rate à CHF 3'462.90 (08. Juni 2015) abbezahlt, wobei er ihr die weiteren Raten in Höhe von insgesamt CHF 41'183.33 schuldig geblieben sei. Es habe sich sodann herausgestellt, dass Y._____ das fragliche Darlehen nicht für die Bezahlung der Schuld gegenüber seiner Frau, sondern für seinen pri- vaten Lebensunterhalt, insbesondere für die Bezahlung der monatlichen Unter- haltszahlungen, benötigt habe.</w:t>
      </w:r>
    </w:p>
    <w:p>
      <w:r>
        <w:rPr>
          <w:b/>
        </w:rPr>
        <w:t>E. 8</w:t>
      </w:r>
    </w:p>
    <w:p>
      <w:r>
        <w:t>/ 17 Gegen die in der Folge von der Staatsanwaltschaft Graubünden erlassene Einstel- lungsverfügung, welche – wie erwähnt – aufgrund der (unangefochtenen) Nicht- anhandnahmeverfügung der Staatsanwaltschaft Zürich-Limmat erging, erhob die X._____ Beschwerde. Die Beschwerdeführerin moniert, die Staatsanwaltschaft Graubünden verkenne den Unterschied zwischen formeller und materieller Rechtskraft. Die Einreichung der Strafanzeige im Kanton Zürich sei auf einen Re- daktionsfehler zurückzuführen. Die Staatsanwaltschaft habe ihre Zuständigkeit von Amtes wegen zu prüfen. Dabei hätte die Staatsanwaltschaft Zürich-Limmat im vorliegenden Fall angesichts des Wohnsitzes des Beschuldigten und aufgrund des Inhalts der Strafanzeige (mutmasslich deliktisches Handeln des Beschuldigten von seinem Zuhause in O.1_____ aus) erkennen müssen, dass sie für die Beurteilung der Strafanzeige örtlich unzuständig sei. Somit hätte sie die Sache von Amtes we- gen an die zuständigen Behörden weiterleiten müssen. Sie habe keine Beurtei- lungskompetenz gehabt. Eine solche sei jedoch – neben der Identität der Person und der Identität der Tat – Voraussetzung für das Auslösen der Sperrwirkung der materiellen Rechtskraft. Da die Nichtanhandnahmeverfügung der Staatsanwalt- schaft Zürich-Limmat materiell nicht in Rechtskraft erwachsen sei, stelle dies kein Verfahrenshindernis für die Durchführung einer Strafuntersuchung durch die Staatsanwaltschaft Graubünden dar. Die Einstellungsverfügung sei daher aufzu- heben. 3.1. Ein Entscheid erwächst in formelle Rechtskraft, wenn die Rechtsmittelfrist unbenützt abgelaufen ist, wenn alle berechtigten Personen rechtsgültig auf ein Rechtsmittel verzichtet oder ein ergriffenes Rechtsmittel zurückgezogen haben oder die Rechtsmittelinstanz auf ein Rechtsmittel nicht eintritt oder es abweist (Art. 437 Abs. 1 StPO). Formelle Rechtskraft bewirkt die Unabänderlichkeit eines Ent- scheides und die Beendigung des Verfahrenslaufes in der betreffenden Angele- genheit. Die in der StPO nicht direkt normierte materielle Rechtskraft bedeutet, dass ein formell rechtskräftiger Entscheid über einen Deliktsvorwurf für spätere Verfahren gleicher Art verbindlich ist. Aus der materiellen Rechtskraft ergibt sich das Verbot der doppelten Strafverfolgung, d.h. der Grundsatz ne bis in idem (Thomas Sprenger, in: Niggli/Heer/Wiprächtiger [Hrsg.], Basler Kommentar Schweizerische Strafprozessordnung, 2. Aufl., Basel 2014, N 3 zu Art. 437 StPO ff.; Niklaus Schmid/Daniel Jositsch, Handbuch des schweizerischen Strafprozess- rechts, 3. Aufl., Zürich 2017, N 242 ff.). Dieser stellt ein Verfahrenshindernis dar, das in jedem Verfahrensstadium von den Strafbehörden von Amtes wegen zu be- achten ist. Voraussetzung der genannten Sperrwirkung sind einerseits die Identität der beschuldigten Person und andererseits die Identität der zur Beurteilung ste-</w:t>
      </w:r>
    </w:p>
    <w:p>
      <w:r>
        <w:rPr>
          <w:b/>
        </w:rPr>
        <w:t>E. 9</w:t>
      </w:r>
    </w:p>
    <w:p>
      <w:r>
        <w:t>/ 17 henden Handlung (Schmid, a.a.O., N 242 ff.; Tag, a.a.O., N 11 zu Art. 11 StPO; Wolfgang Wohlers, in: Donatsch/Hansjakob/Lieber [Hrsg.], Kommentar zur Schweizerischen Strafprozessordnung [StPO], 2. Aufl., Zürich/Basel/Genf 2014, N</w:t>
      </w:r>
    </w:p>
    <w:p>
      <w:r>
        <w:rPr>
          <w:b/>
        </w:rPr>
        <w:t>E. 13</w:t>
      </w:r>
    </w:p>
    <w:p>
      <w:r>
        <w:t>/ 17 den ist. Gerade das Gegenteil ist der Fall. Mit ihrem Antwortschreiben vom 7. Fe- bruar 2018 (StA act. 3.5), namentlich mit dem Hinweis auf einen blossen Entwurf der Strafanzeige, liess die Beschwerdeführerin die Staatsanwaltschaft Graubün- den im Glauben, die Anzeige sei in Zürich gar nicht eingereicht worden. Das zwei- te angeführte Schreiben der Staatsanwaltschaft Graubünden vom 22. Mai 2018 datiert sodann nach der Eröffnung des Strafverfahrens und erfolgte, nachdem die Staatsanwaltschaft Graubünden von der Nichtanhandnahme der Staatsanwalt- schaft Zürich-Limmat erfuhr. Die Beschwerdeführerin konnte somit aufgrund der von ihr angeführten Schreiben keineswegs davon ausgehen, die Staatsanwalt- schaft Zürich-Limmat habe die Sache gestützt auf Art. 39 StPO an die Staatsan- waltschaft Graubünden überwiesen. Die Behauptung, dies habe sie dazu bewo- gen, auf eine Anfechtung der Nichtanhandnahmeverfügung zu verzichten, erweist sich als reine Schutzbehauptung. Eine solche Annahme wäre im Übrigen aufgrund der Begründung der Nichtanhandnahmeverfügung völlig abwegig. Die Nichtan- handnahmeverfügung weist einen in allen Belangen klaren Wortlaut auf und konn- te selbst von einem Laien nicht missverstanden werden, geschweige denn von der anwaltlich vertretenen Beschwerdeführerin. 7. In ihrer Replik vom 22. August 2018 berief sich die Beschwerdeführerin so- dann zusätzlich auf das Rechtsverweigerungsverbot im Sinne des überspitzten Formalismus und des widersprüchlichen Verhaltens der Staatsanwaltschaft Graubünden. Beide Vorwürfe zielen nach dem Gesagten ins Leere. Das von der Beschwerdeführerin angeführte Urteil des Bundesgerichts 1P.511/2002 vom 7. Januar 2003 betrifft eine völlig andere Konstellation. Insbesondere wurde in jenem Fall der Beschwerdeführer durch das Verhalten der kantonalen Behörden (infor- melle Vereinbarungen zwischen dem Beschwerdeführer und dem zuständigen Verhörrichter, widersprüchliches Verhalten der kantonalen Behörden) davon ab- gehalten, rechtzeitig einen Rekurs gegen die Nichtanhandnahmeverfügung einzu- reichen. Dass dies vorliegend eben gerade nicht der Fall war, wurde bereits in vorstehender Erwägung 6.2 dargelegt. 8. Auch die Ausführungen der Beschwerdeführerin bezüglich "erhöhtes Ver- trauen in Polizeipersonen" (KG act. A.4, S. 4), wonach der Beschuldigte als Poli- zeiperson eine erhöhte Glaubwürdigkeit geniesse, weshalb sie ein erhöhtes Ver- trauen in ihn als Amtsperson gehabt habe, helfen der Beschwerdeführerin im Zu- sammenhang mit der Einstellung des Verfahrens nicht weiter, welche einzig infol- ge eines Verfahrenshindernisses erfolgte.</w:t>
      </w:r>
    </w:p>
    <w:p>
      <w:r>
        <w:rPr>
          <w:b/>
        </w:rPr>
        <w:t>E. 14</w:t>
      </w:r>
    </w:p>
    <w:p>
      <w:r>
        <w:t>/ 17 9. Der von der Beschwerdeführerin zudem gegenüber der Staatsanwaltschaft Graubünden erhobene Vorwurf der mutmasslichen Bevorzugung und der Begüns- tigung des Beschuldigten ist eine reine Unterstellung. Hierfür gibt es nicht die ge- ringsten Anhaltspunkte. Nach vorstehend Gesagtem erweist sich das Vorgehen der Staatsanwaltschaft Graubünden als durchaus korrekt. 10. Zusammenfassend ergibt sich, dass die Rügen der Beschwerdeführerin unbegründet sind. Durch konkludente Anerkennung des Gerichtsstands im Sinne von Art. 38 Abs. 1 StPO hatte sich die Staatsanwaltschaft Zürich-Limmat zu Recht mit der in Frage stehenden Strafanzeige befasst und aufgrund dessen eine Nicht- anhandnahmeverfügung erlassen, welche in der Folge unangefochten blieb und in Rechtskraft erwachsen ist. Somit konnte und durfte die Staatsanwaltschaft Graubünden die bei ihr anschliessend eingereichte identische Strafanzeige auf- grund des ne bis in idem-Grundsatzes nicht nochmals beurteilen und hat daher korrekterweise eine Einstellungsverfügung erlassen. Die Beschwerde ist demnach abzuweisen. 11. Die Beschwerdeführerin beantragt zudem (Anträge 2-5 der Beschwerde, KG act. A.1, S. 2), die Staatsanwaltschaft sei zu verpflichten, eine Strafuntersu- chung zu eröffnen, die Wohnung des Beschuldigten zu durchsuchen, sämtliche Beweismittel wie Aufzeichnungen, Laptops etc. zu beschlagnahmen sowie sämtli- che Bankkonten zu sperren. Im Falle einer Rückweisung steht es der Staatsan- waltschaft grundsätzlich frei, wie sie das Verfahren weiterführen will. Zwar kann die Beschwerdeinstanz bei Aufhebung einer Einstellungsverfügung der Staatsan- waltschaft Weisungen erteilen (Art. 397 Abs. 3 StPO). Aufgrund der strafverfah- rensrechtlichen Gewaltenteilung hat sich die Beschwerdeinstanz bei der Ausü- bung des Weisungsrechts jedoch eine gewisse Zurückhaltung aufzuerlegen (vgl. Beschluss des Kantonsgerichts SK2 15 6 vom 13. Mai 2015, E. 5). Vorliegend wird die Beschwerde gegen die Einstellungsverfügung abgewiesen, weshalb das Strafverfahren von der Staatsanwaltschaft nicht weitergeführt wird. Unter diesen Umständen erübrigt es sich, auf die vorgenannten Anträge bezüglich der Erteilung von Weisungen an die Staatsanwaltschaft der Beschwerdeführerin einzugehen. 12.1. Die Staatsanwaltschaft Graubünden verfügte in der angefochtenen Einstel- lungsverfügung die Kostentragung ihrer Aufwendungen durch den Kanton Graubünden. Parteientschädigungen wurden keine zugesprochen. Weil vorliegend kein neuer Entscheid zu fällen ist, erübrigt es sich folglich, über die vorinstanzliche Kostenregelung neu zu befinden (Art. 428 Abs. 3 StPO).</w:t>
      </w:r>
    </w:p>
    <w:p>
      <w:r>
        <w:rPr>
          <w:b/>
        </w:rPr>
        <w:t>E. 15</w:t>
      </w:r>
    </w:p>
    <w:p>
      <w:r>
        <w:t>/ 17 12.2. Die Kosten des Rechtsmittelverfahrens tragen die Parteien grundsätzlich nach Massgabe ihres Obsiegens oder Unterliegens (Art. 428 Abs. 1 StPO). Vor- liegend ist die Beschwerdeführerin vollständig unterlegen. Die Kosten des Be- schwerdeverfahrens, die in Anwendung von Art. 8 der Verordnung über die Ge- richtsgebühren in Strafverfahren (VGS; BR 350.210) auf CHF 2'000.00 festgelegt werden, werden folglich der Beschwerdeführerin auferlegt und im Umfang von CHF 1'500.00 mit der von ihr erbrachten Sicherheitsleistung verrechnet. Der Rest- betrag von CHF 500.00 wird ihr separat in Rechnung gestellt. 12.3. Für die Ansprüche auf Entschädigung und Genugtuung im Rechtsmittelver- fahren verweist Art. 436 Abs. 1 StPO auf die Art. 429-434 StPO. Die Strafbehörde prüft den Anspruch von Amtes wegen (Art. 429 Abs. 2 StPO). Die Beschwerdefüh- rerin unterliegt im Vorliegenden, ausschliesslich von ihr initiierten Beschwerdever- fahren vollständig und ist gemäss der Praxis des Kantonsgerichts von Graubün- den deshalb in analoger Anwendung von Art. 432 Abs. 1 StPO zu verpflichten, eine angemessene Prozessentschädigung zu bezahlen (vgl. u.a. die Beschlüsse des Kantonsgerichts von Graubünden SK2 14 39 vom 11. Februar 2015 E. 7.b m.w.H. sowie SK2 17 3 vom 15. Dezember 2017 E. 5.2.). Der Rechtsvertreter des Beschwerdegegners legte mit Schreiben vom 14. September 2018 eine Honorar- vereinbarung samt Honorarnote ins Recht und macht dabei einen Gesamtaufwand von CHF 924.42 (inkl. Spesen und MwSt.) geltend. Die Beschwerdeführerin wen- dete dagegen ein, dass sie davon ausgegangen sei, dass der Beschwerdegegner nicht durch Rechtsanwalt Mutzner vertreten werde, da sich diese nach Verfah- rensbeginn dahingehend geäussert hätten. Zudem dürfte der Beschwerdegegner wohl nicht über die finanziellen Mittel verfügen, um sich einen Anwalt für einen solchen Fall leisten zu können. Die eingereichte Honorarnote sei deshalb nicht gerechtfertigt und unnötig, weshalb beantragt werde, dass die in Frage stehende Honorarnote zu Lasten von Rechtsanwalt Mutzner gehe. Diese Einwände der Be- schwerdeführerin sind offensichtlich haltlos und tragen in Bezug auf die Festset- zung der Parteientschädigung nichts zur Sache bei. Die Honorarnote von Rechts- anwalt Mutzner ist allerdings um die ersten beiden Positionen zu kürzen. Dabei handelt es sich um den Aufwand vom 18. Juni 2018 "Prüfung Schreiben STA Graubünden bzgl. Einstellungsverfügung" von 0.15 Stunden und den Aufwand vom 5. Juli 2018 "Prüfung Einstellungsverfügung STA GR" von 0.15 Stunden. Die- se Aufwände gehören bereits vom Datum her nicht zum Beschwerdeverfahren und hätten im Rahmen der Einstellungsverfügung vor der Staatsanwaltschaft Graubünden geltend gemacht werden müssen. Die Beschwerdeführerin wird somit</w:t>
      </w:r>
    </w:p>
    <w:p>
      <w:r>
        <w:rPr>
          <w:b/>
        </w:rPr>
        <w:t>E. 16</w:t>
      </w:r>
    </w:p>
    <w:p>
      <w:r>
        <w:t>/ 17 verpflichtet, den Beschwerdegegner mit CHF 785.75 (inkl. Spesen und MwSt.) ausseramtlich zu entschädigen.</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